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69" w:rsidRDefault="00940B19">
      <w:r>
        <w:rPr>
          <w:noProof/>
        </w:rPr>
        <w:pict>
          <v:rect id="_x0000_s1026" style="position:absolute;margin-left:411.25pt;margin-top:-34.95pt;width:75.75pt;height:25.5pt;z-index:251658240">
            <v:textbox>
              <w:txbxContent>
                <w:p w:rsidR="001E7569" w:rsidRPr="001E7569" w:rsidRDefault="001E7569" w:rsidP="001E756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 w:rsidRPr="001E7569">
                    <w:rPr>
                      <w:b/>
                      <w:bCs/>
                      <w:color w:val="auto"/>
                    </w:rPr>
                    <w:t xml:space="preserve">MCU_RM </w:t>
                  </w:r>
                  <w:r w:rsidRPr="001E7569">
                    <w:rPr>
                      <w:b/>
                      <w:bCs/>
                      <w:color w:val="auto"/>
                      <w:cs/>
                    </w:rPr>
                    <w:t>๐</w:t>
                  </w:r>
                </w:p>
                <w:p w:rsidR="001E7569" w:rsidRDefault="001E7569" w:rsidP="001E7569"/>
              </w:txbxContent>
            </v:textbox>
          </v:rect>
        </w:pict>
      </w:r>
    </w:p>
    <w:p w:rsidR="001E7569" w:rsidRDefault="00940B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5.9pt;margin-top:6.3pt;width:36.7pt;height:216.6pt;z-index:-251656192" filled="t" fillcolor="white [3212]" stroked="t" strokecolor="white [3212]">
            <v:stroke dashstyle="1 1" endcap="round"/>
            <v:imagedata r:id="rId5" o:title=""/>
          </v:shape>
          <o:OLEObject Type="Embed" ProgID="Excel.Sheet.8" ShapeID="_x0000_s1028" DrawAspect="Content" ObjectID="_1506430434" r:id="rId6"/>
        </w:pict>
      </w:r>
      <w:r>
        <w:rPr>
          <w:noProof/>
        </w:rPr>
        <w:pict>
          <v:shape id="_x0000_s1027" type="#_x0000_t75" style="position:absolute;margin-left:89.85pt;margin-top:2.8pt;width:321.4pt;height:220.1pt;z-index:251659264" fillcolor="#bbe0e3">
            <v:imagedata r:id="rId7" o:title=""/>
          </v:shape>
          <o:OLEObject Type="Embed" ProgID="Excel.Sheet.8" ShapeID="_x0000_s1027" DrawAspect="Content" ObjectID="_1506430435" r:id="rId8"/>
        </w:pict>
      </w:r>
    </w:p>
    <w:p w:rsidR="001E7569" w:rsidRDefault="001E7569"/>
    <w:p w:rsidR="001E7569" w:rsidRDefault="001E7569"/>
    <w:p w:rsidR="001E7569" w:rsidRDefault="001E7569"/>
    <w:p w:rsidR="0033038B" w:rsidRDefault="0033038B"/>
    <w:p w:rsidR="001E7569" w:rsidRDefault="001E7569"/>
    <w:p w:rsidR="001E7569" w:rsidRDefault="001E7569"/>
    <w:p w:rsidR="001E7569" w:rsidRDefault="001E7569" w:rsidP="001E7569">
      <w:pPr>
        <w:spacing w:after="0" w:line="240" w:lineRule="auto"/>
        <w:ind w:left="2160" w:firstLine="720"/>
        <w:jc w:val="center"/>
        <w:rPr>
          <w:rFonts w:ascii="THSarabunPSK" w:hAnsi="THSarabunPSK" w:cs="THSarabunPSK"/>
          <w:b/>
          <w:bCs/>
        </w:rPr>
      </w:pPr>
    </w:p>
    <w:p w:rsidR="001E7569" w:rsidRDefault="001E7569" w:rsidP="001E7569">
      <w:pPr>
        <w:spacing w:after="0" w:line="240" w:lineRule="auto"/>
        <w:ind w:left="2160" w:firstLine="720"/>
        <w:rPr>
          <w:rFonts w:ascii="THSarabunPSK" w:hAnsi="THSarabunPSK" w:cs="THSarabunPSK"/>
          <w:b/>
          <w:bCs/>
        </w:rPr>
      </w:pPr>
      <w:r>
        <w:rPr>
          <w:rFonts w:ascii="THSarabunPSK" w:hAnsi="THSarabunPSK" w:cs="THSarabunPSK" w:hint="cs"/>
          <w:b/>
          <w:bCs/>
          <w:cs/>
        </w:rPr>
        <w:t xml:space="preserve">           </w:t>
      </w:r>
      <w:r w:rsidRPr="00AF6A51">
        <w:rPr>
          <w:rFonts w:ascii="THSarabunPSK" w:hAnsi="THSarabunPSK" w:cs="THSarabunPSK" w:hint="cs"/>
          <w:b/>
          <w:bCs/>
          <w:cs/>
        </w:rPr>
        <w:t xml:space="preserve">ผลกระทบ </w:t>
      </w:r>
      <w:r w:rsidRPr="00AF6A51">
        <w:rPr>
          <w:rFonts w:eastAsia="Times New Roman"/>
          <w:b/>
          <w:bCs/>
          <w:lang w:val="en-SG"/>
        </w:rPr>
        <w:t>(Impact : I)</w:t>
      </w:r>
    </w:p>
    <w:tbl>
      <w:tblPr>
        <w:tblpPr w:leftFromText="180" w:rightFromText="180" w:vertAnchor="text" w:horzAnchor="page" w:tblpX="1738" w:tblpY="61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2389"/>
        <w:gridCol w:w="2901"/>
      </w:tblGrid>
      <w:tr w:rsidR="001E7569" w:rsidRPr="00361289" w:rsidTr="001E7569">
        <w:trPr>
          <w:trHeight w:val="990"/>
        </w:trPr>
        <w:tc>
          <w:tcPr>
            <w:tcW w:w="3890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1E7569">
              <w:rPr>
                <w:rFonts w:hint="cs"/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>ระดับความเสี่ยง</w:t>
            </w:r>
          </w:p>
        </w:tc>
        <w:tc>
          <w:tcPr>
            <w:tcW w:w="2389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  <w:cs/>
              </w:rPr>
            </w:pPr>
            <w:r w:rsidRPr="001E7569">
              <w:rPr>
                <w:rFonts w:eastAsia="Calibri"/>
                <w:b/>
                <w:bCs/>
                <w:cs/>
              </w:rPr>
              <w:t>ค่าช่วงคะแนน</w:t>
            </w:r>
            <w:r w:rsidRPr="001E7569">
              <w:rPr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 xml:space="preserve">(โอกาสเกิด </w:t>
            </w:r>
            <w:r w:rsidRPr="001E7569">
              <w:rPr>
                <w:b/>
                <w:bCs/>
              </w:rPr>
              <w:t>x</w:t>
            </w:r>
            <w:r w:rsidRPr="001E7569">
              <w:rPr>
                <w:rFonts w:eastAsia="Calibri"/>
                <w:b/>
                <w:bCs/>
                <w:cs/>
              </w:rPr>
              <w:t>ผลกระทบ)</w:t>
            </w:r>
          </w:p>
        </w:tc>
        <w:tc>
          <w:tcPr>
            <w:tcW w:w="2901" w:type="dxa"/>
          </w:tcPr>
          <w:p w:rsidR="001E7569" w:rsidRPr="001E756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1E7569">
              <w:rPr>
                <w:rFonts w:hint="cs"/>
                <w:b/>
                <w:bCs/>
                <w:cs/>
              </w:rPr>
              <w:br/>
            </w:r>
            <w:r w:rsidRPr="001E7569">
              <w:rPr>
                <w:rFonts w:eastAsia="Calibri"/>
                <w:b/>
                <w:bCs/>
                <w:cs/>
              </w:rPr>
              <w:t>สีแสดงระดับความเสี่ยง</w:t>
            </w:r>
          </w:p>
        </w:tc>
      </w:tr>
      <w:tr w:rsidR="001E7569" w:rsidRPr="00361289" w:rsidTr="001E7569">
        <w:trPr>
          <w:trHeight w:val="367"/>
        </w:trPr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ระดับความเสี่ยงต่ำ (</w:t>
            </w:r>
            <w:r w:rsidRPr="009A3E19">
              <w:rPr>
                <w:rFonts w:eastAsia="Calibri"/>
              </w:rPr>
              <w:t>Low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๑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๓</w:t>
            </w:r>
          </w:p>
        </w:tc>
        <w:tc>
          <w:tcPr>
            <w:tcW w:w="2901" w:type="dxa"/>
            <w:shd w:val="clear" w:color="auto" w:fill="66FF33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สีเขียว</w:t>
            </w:r>
          </w:p>
        </w:tc>
      </w:tr>
      <w:tr w:rsidR="001E7569" w:rsidRPr="00361289" w:rsidTr="001E7569"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  <w:cs/>
              </w:rPr>
            </w:pPr>
            <w:r w:rsidRPr="009A3E19">
              <w:rPr>
                <w:rFonts w:eastAsia="Calibri"/>
                <w:cs/>
              </w:rPr>
              <w:t>ระดับความเสี่ยงปานกลาง (</w:t>
            </w:r>
            <w:r w:rsidRPr="009A3E19">
              <w:rPr>
                <w:rFonts w:eastAsia="Calibri"/>
              </w:rPr>
              <w:t>Medium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๔</w:t>
            </w:r>
            <w:r w:rsidRPr="00FC59B7">
              <w:rPr>
                <w:color w:val="auto"/>
                <w:cs/>
              </w:rPr>
              <w:t>–</w:t>
            </w:r>
            <w:r w:rsidR="00940B19">
              <w:rPr>
                <w:rFonts w:hint="cs"/>
                <w:color w:val="auto"/>
                <w:cs/>
              </w:rPr>
              <w:t>๗</w:t>
            </w:r>
          </w:p>
        </w:tc>
        <w:tc>
          <w:tcPr>
            <w:tcW w:w="2901" w:type="dxa"/>
            <w:shd w:val="clear" w:color="auto" w:fill="FFFF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สีเหลือง</w:t>
            </w:r>
          </w:p>
        </w:tc>
      </w:tr>
      <w:tr w:rsidR="001E7569" w:rsidRPr="00361289" w:rsidTr="001E7569"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ระดับความเสี่ยงสูง</w:t>
            </w:r>
            <w:r w:rsidRPr="009A3E19">
              <w:rPr>
                <w:rFonts w:eastAsia="Calibri"/>
              </w:rPr>
              <w:t xml:space="preserve"> (High)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๘</w:t>
            </w:r>
            <w:r w:rsidRPr="00FC59B7">
              <w:rPr>
                <w:color w:val="auto"/>
                <w:cs/>
              </w:rPr>
              <w:t>–</w:t>
            </w:r>
            <w:r w:rsidR="00940B19">
              <w:rPr>
                <w:rFonts w:hint="cs"/>
                <w:color w:val="auto"/>
                <w:cs/>
              </w:rPr>
              <w:t>๑๔</w:t>
            </w:r>
          </w:p>
        </w:tc>
        <w:tc>
          <w:tcPr>
            <w:tcW w:w="2901" w:type="dxa"/>
            <w:shd w:val="clear" w:color="auto" w:fill="FF99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สีส้ม</w:t>
            </w:r>
          </w:p>
        </w:tc>
      </w:tr>
      <w:tr w:rsidR="001E7569" w:rsidRPr="00361289" w:rsidTr="001E7569">
        <w:trPr>
          <w:trHeight w:val="322"/>
        </w:trPr>
        <w:tc>
          <w:tcPr>
            <w:tcW w:w="3890" w:type="dxa"/>
          </w:tcPr>
          <w:p w:rsidR="001E7569" w:rsidRPr="009A3E19" w:rsidRDefault="001E7569" w:rsidP="001E7569">
            <w:pPr>
              <w:rPr>
                <w:rFonts w:eastAsia="Calibri"/>
              </w:rPr>
            </w:pPr>
            <w:r w:rsidRPr="009A3E19">
              <w:rPr>
                <w:rFonts w:eastAsia="Calibri"/>
                <w:cs/>
              </w:rPr>
              <w:t>ระดับความเสี่ยงสูงมาก (</w:t>
            </w:r>
            <w:r w:rsidRPr="009A3E19">
              <w:rPr>
                <w:rFonts w:eastAsia="Calibri"/>
              </w:rPr>
              <w:t>Extreme</w:t>
            </w:r>
            <w:r w:rsidRPr="009A3E19">
              <w:rPr>
                <w:rFonts w:eastAsia="Calibri"/>
                <w:cs/>
              </w:rPr>
              <w:t>)</w:t>
            </w:r>
          </w:p>
        </w:tc>
        <w:tc>
          <w:tcPr>
            <w:tcW w:w="2389" w:type="dxa"/>
          </w:tcPr>
          <w:p w:rsidR="001E7569" w:rsidRPr="00FC59B7" w:rsidRDefault="001E7569" w:rsidP="001E7569">
            <w:pPr>
              <w:jc w:val="center"/>
              <w:rPr>
                <w:rFonts w:eastAsia="Calibri"/>
                <w:color w:val="auto"/>
              </w:rPr>
            </w:pPr>
            <w:r w:rsidRPr="00FC59B7">
              <w:rPr>
                <w:rFonts w:hint="cs"/>
                <w:color w:val="auto"/>
                <w:cs/>
              </w:rPr>
              <w:t>๑๕</w:t>
            </w:r>
            <w:r w:rsidRPr="00FC59B7">
              <w:rPr>
                <w:color w:val="auto"/>
                <w:cs/>
              </w:rPr>
              <w:t>–</w:t>
            </w:r>
            <w:r w:rsidRPr="00FC59B7">
              <w:rPr>
                <w:rFonts w:hint="cs"/>
                <w:color w:val="auto"/>
                <w:cs/>
              </w:rPr>
              <w:t>๒๕</w:t>
            </w:r>
            <w:bookmarkStart w:id="0" w:name="_GoBack"/>
            <w:bookmarkEnd w:id="0"/>
          </w:p>
        </w:tc>
        <w:tc>
          <w:tcPr>
            <w:tcW w:w="2901" w:type="dxa"/>
            <w:shd w:val="clear" w:color="auto" w:fill="FF0000"/>
          </w:tcPr>
          <w:p w:rsidR="001E7569" w:rsidRPr="009A3E19" w:rsidRDefault="001E7569" w:rsidP="001E7569">
            <w:pPr>
              <w:jc w:val="center"/>
              <w:rPr>
                <w:rFonts w:eastAsia="Calibri"/>
                <w:b/>
                <w:bCs/>
              </w:rPr>
            </w:pPr>
            <w:r w:rsidRPr="009A3E19">
              <w:rPr>
                <w:rFonts w:eastAsia="Calibri" w:hint="cs"/>
                <w:b/>
                <w:bCs/>
                <w:cs/>
              </w:rPr>
              <w:t>สีแดง</w:t>
            </w:r>
          </w:p>
        </w:tc>
      </w:tr>
    </w:tbl>
    <w:p w:rsidR="001E7569" w:rsidRDefault="001E7569"/>
    <w:p w:rsidR="001E7569" w:rsidRDefault="001E7569"/>
    <w:p w:rsidR="001E7569" w:rsidRDefault="001E7569" w:rsidP="001E7569">
      <w:pPr>
        <w:spacing w:after="0" w:line="240" w:lineRule="auto"/>
        <w:rPr>
          <w:rFonts w:ascii="THSarabunPSK" w:hAnsi="THSarabunPSK" w:cs="THSarabunPSK"/>
          <w:b/>
          <w:bCs/>
          <w:u w:val="single"/>
        </w:rPr>
      </w:pPr>
      <w:r w:rsidRPr="001E7569">
        <w:rPr>
          <w:rFonts w:ascii="THSarabunPSK" w:hAnsi="THSarabunPSK" w:cs="THSarabunPSK" w:hint="cs"/>
          <w:b/>
          <w:bCs/>
          <w:cs/>
        </w:rPr>
        <w:t xml:space="preserve">   </w:t>
      </w:r>
      <w:r w:rsidRPr="00BA12DC">
        <w:rPr>
          <w:rFonts w:ascii="THSarabunPSK" w:hAnsi="THSarabunPSK" w:cs="THSarabunPSK" w:hint="cs"/>
          <w:b/>
          <w:bCs/>
          <w:u w:val="single"/>
          <w:cs/>
        </w:rPr>
        <w:t>เกณฑ์ระดับความเสี่ยงที่ยอมรับได้ มีดังนี้</w:t>
      </w:r>
      <w:r>
        <w:rPr>
          <w:rFonts w:ascii="THSarabunPSK" w:hAnsi="THSarabunPSK" w:cs="THSarabunPSK"/>
          <w:b/>
          <w:bCs/>
          <w:u w:val="single"/>
        </w:rPr>
        <w:br/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  <w:cs/>
        </w:rPr>
      </w:pP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ระดับความเสี่ยงด้านการปฏิบัติงาน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  <w:cs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ระดับความเสี่ยงด้านการเงิน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ระดับความเสี่ยงด้านกฎระเบียบ</w:t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/>
        </w:rPr>
        <w:tab/>
      </w:r>
      <w:r>
        <w:rPr>
          <w:rFonts w:ascii="THSarabunPSK" w:hAnsi="THSarabunPSK" w:cs="THSarabunPSK" w:hint="cs"/>
          <w:cs/>
        </w:rPr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ระดับความเสี่ยงด้านเหตุการณ์ภายนอก</w:t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Default="001E7569" w:rsidP="001E7569">
      <w:pPr>
        <w:spacing w:after="0" w:line="240" w:lineRule="auto"/>
        <w:rPr>
          <w:rFonts w:ascii="THSarabunPSK" w:hAnsi="THSarabunPSK" w:cs="THSarabunPSK"/>
          <w:cs/>
        </w:rPr>
      </w:pPr>
      <w:r>
        <w:rPr>
          <w:rFonts w:ascii="THSarabunPSK" w:hAnsi="THSarabunPSK" w:cs="THSarabunPSK" w:hint="cs"/>
          <w:cs/>
        </w:rPr>
        <w:tab/>
        <w:t>ระดับความเสี่ยงด้านกลยุทธ์</w:t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</w:r>
      <w:r>
        <w:rPr>
          <w:rFonts w:ascii="THSarabunPSK" w:hAnsi="THSarabunPSK" w:cs="THSarabunPSK" w:hint="cs"/>
          <w:cs/>
        </w:rPr>
        <w:tab/>
        <w:t>มีค่าตั้งแต่</w:t>
      </w:r>
      <w:r>
        <w:rPr>
          <w:rFonts w:ascii="THSarabunPSK" w:hAnsi="THSarabunPSK" w:cs="THSarabunPSK" w:hint="cs"/>
          <w:cs/>
        </w:rPr>
        <w:tab/>
        <w:t xml:space="preserve">๑ </w:t>
      </w:r>
      <w:r>
        <w:rPr>
          <w:rFonts w:ascii="THSarabunPSK" w:hAnsi="THSarabunPSK" w:cs="THSarabunPSK"/>
          <w:cs/>
        </w:rPr>
        <w:t>–</w:t>
      </w:r>
      <w:r>
        <w:rPr>
          <w:rFonts w:ascii="THSarabunPSK" w:hAnsi="THSarabunPSK" w:cs="THSarabunPSK" w:hint="cs"/>
          <w:cs/>
        </w:rPr>
        <w:t xml:space="preserve"> ๖</w:t>
      </w:r>
    </w:p>
    <w:p w:rsidR="001E7569" w:rsidRPr="00BA12DC" w:rsidRDefault="001E7569" w:rsidP="001E7569">
      <w:pPr>
        <w:spacing w:after="0" w:line="240" w:lineRule="auto"/>
        <w:rPr>
          <w:rFonts w:ascii="THSarabunPSK" w:hAnsi="THSarabunPSK" w:cs="THSarabunPSK"/>
          <w:cs/>
        </w:rPr>
      </w:pPr>
    </w:p>
    <w:p w:rsidR="001E7569" w:rsidRPr="00CD2E81" w:rsidRDefault="001E7569" w:rsidP="001E7569">
      <w:pPr>
        <w:spacing w:after="0" w:line="240" w:lineRule="auto"/>
        <w:rPr>
          <w:rFonts w:ascii="THSarabunPSK" w:hAnsi="THSarabunPSK" w:cs="THSarabunPSK"/>
          <w:b/>
          <w:bCs/>
          <w:color w:val="auto"/>
          <w:spacing w:val="-4"/>
        </w:rPr>
      </w:pPr>
      <w:r w:rsidRPr="00CD2E81">
        <w:rPr>
          <w:rFonts w:ascii="THSarabunPSK-Bold" w:hAnsi="THSarabunPSK-Bold" w:cs="THSarabunPSK-Bold" w:hint="cs"/>
          <w:b/>
          <w:bCs/>
          <w:spacing w:val="-4"/>
          <w:sz w:val="30"/>
          <w:szCs w:val="30"/>
          <w:cs/>
        </w:rPr>
        <w:t>ที่มา</w:t>
      </w:r>
      <w:r w:rsidRPr="00CD2E81">
        <w:rPr>
          <w:rFonts w:ascii="THSarabunPSK-Bold" w:hAnsi="THSarabunPSK-Bold" w:cs="THSarabunPSK-Bold"/>
          <w:b/>
          <w:bCs/>
          <w:spacing w:val="-4"/>
          <w:sz w:val="30"/>
          <w:szCs w:val="30"/>
        </w:rPr>
        <w:t xml:space="preserve"> : </w:t>
      </w:r>
      <w:r w:rsidRPr="00CD2E81">
        <w:rPr>
          <w:rFonts w:ascii="THSarabunPSK" w:hAnsi="THSarabunPSK" w:cs="THSarabunPSK" w:hint="cs"/>
          <w:spacing w:val="-4"/>
          <w:sz w:val="30"/>
          <w:szCs w:val="30"/>
          <w:cs/>
        </w:rPr>
        <w:t>ปรับปรุงมาจา</w:t>
      </w:r>
      <w:r w:rsidRPr="00CD2E81">
        <w:rPr>
          <w:rFonts w:ascii="THSarabunPSK" w:hAnsi="THSarabunPSK" w:cs="THSarabunPSK" w:hint="cs"/>
          <w:color w:val="auto"/>
          <w:spacing w:val="-4"/>
          <w:sz w:val="30"/>
          <w:szCs w:val="30"/>
          <w:cs/>
        </w:rPr>
        <w:t xml:space="preserve">ก </w:t>
      </w:r>
      <w:hyperlink r:id="rId9" w:history="1">
        <w:r w:rsidRPr="00CD2E81">
          <w:rPr>
            <w:rStyle w:val="Hyperlink"/>
            <w:rFonts w:ascii="THSarabunPSK" w:hAnsi="THSarabunPSK" w:cs="THSarabunPSK"/>
            <w:color w:val="auto"/>
            <w:spacing w:val="-4"/>
            <w:sz w:val="30"/>
            <w:szCs w:val="30"/>
            <w:u w:val="none"/>
          </w:rPr>
          <w:t>www.admin.cam.ac.uk/offices/secretariat/risk/toolkit/risk_impact_grid.doc</w:t>
        </w:r>
      </w:hyperlink>
    </w:p>
    <w:sectPr w:rsidR="001E7569" w:rsidRPr="00CD2E81" w:rsidSect="001E7569"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PSK-Bold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E7569"/>
    <w:rsid w:val="001E7569"/>
    <w:rsid w:val="002430D7"/>
    <w:rsid w:val="0033038B"/>
    <w:rsid w:val="00940B19"/>
    <w:rsid w:val="00B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569"/>
    <w:rPr>
      <w:rFonts w:ascii="TH SarabunPSK" w:hAnsi="TH SarabunPSK" w:cs="TH SarabunPSK"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5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Microsoft_Excel_97-20032.xls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Microsoft_Excel_97-20031.xls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.cam.ac.uk/offices/secretariat/risk/toolkit/risk_impact_gri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dcterms:created xsi:type="dcterms:W3CDTF">2014-11-12T10:48:00Z</dcterms:created>
  <dcterms:modified xsi:type="dcterms:W3CDTF">2015-10-15T09:07:00Z</dcterms:modified>
</cp:coreProperties>
</file>